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961A1" w14:textId="77777777" w:rsidR="002C2E29" w:rsidRPr="00E635A2" w:rsidRDefault="004033D8" w:rsidP="00E635A2">
      <w:pPr>
        <w:jc w:val="right"/>
        <w:rPr>
          <w:b/>
          <w:bCs/>
          <w:sz w:val="20"/>
          <w:szCs w:val="20"/>
        </w:rPr>
      </w:pPr>
      <w:r w:rsidRPr="00E635A2">
        <w:rPr>
          <w:rFonts w:hint="cs"/>
          <w:sz w:val="20"/>
          <w:szCs w:val="20"/>
          <w:rtl/>
        </w:rPr>
        <w:t xml:space="preserve">מספר פנימי: </w:t>
      </w:r>
      <w:bookmarkStart w:id="0" w:name="LGS_Internal_ID"/>
      <w:r>
        <w:rPr>
          <w:rFonts w:hint="cs"/>
          <w:sz w:val="20"/>
          <w:szCs w:val="20"/>
          <w:rtl/>
        </w:rPr>
        <w:t>2201154</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b/>
          <w:bCs/>
          <w:sz w:val="26"/>
          <w:szCs w:val="26"/>
          <w:rtl/>
        </w:rPr>
      </w:pPr>
    </w:p>
    <w:p w14:paraId="7F6961A6" w14:textId="77777777" w:rsidR="00E13C27" w:rsidRDefault="008F6665" w:rsidP="00930EFE">
      <w:pPr>
        <w:pStyle w:val="David"/>
        <w:ind w:left="3544"/>
        <w:rPr>
          <w:b/>
          <w:bCs/>
          <w:rtl/>
        </w:rPr>
      </w:pPr>
      <w:bookmarkStart w:id="2" w:name="LGS_Initiators_List"/>
      <w:r>
        <w:rPr>
          <w:b/>
          <w:bCs/>
          <w:rtl/>
        </w:rPr>
        <w:t>יוזמת:</w:t>
      </w:r>
      <w:r>
        <w:tab/>
      </w:r>
      <w:r>
        <w:rPr>
          <w:b/>
          <w:bCs/>
          <w:rtl/>
        </w:rPr>
        <w:t xml:space="preserve">      חברת הכנסת</w:t>
      </w:r>
      <w:bookmarkEnd w:id="2"/>
      <w:r w:rsidR="00B35784" w:rsidRPr="00F67051">
        <w:rPr>
          <w:b/>
          <w:bCs/>
        </w:rPr>
        <w:tab/>
      </w:r>
      <w:bookmarkStart w:id="3" w:name="LGS_PM_Names"/>
      <w:r>
        <w:rPr>
          <w:rFonts w:hint="cs"/>
          <w:b/>
          <w:bCs/>
          <w:rtl/>
        </w:rPr>
        <w:t>מרב מיכאלי</w:t>
      </w:r>
      <w:bookmarkEnd w:id="3"/>
    </w:p>
    <w:p w14:paraId="7F6961AA" w14:textId="39F9D96B" w:rsidR="00E13C27" w:rsidRPr="00CF1AA2" w:rsidRDefault="007D585A" w:rsidP="0036422C">
      <w:pPr>
        <w:pStyle w:val="David"/>
        <w:ind w:left="3544"/>
        <w:rPr>
          <w:b/>
          <w:bCs/>
          <w:sz w:val="16"/>
          <w:szCs w:val="16"/>
          <w:rtl/>
        </w:rPr>
      </w:pPr>
      <w:bookmarkStart w:id="4" w:name="LGS_Join_List"/>
      <w:r>
        <w:rPr>
          <w:rtl/>
        </w:rPr>
        <w:t xml:space="preserve"> </w:t>
      </w:r>
      <w:bookmarkEnd w:id="4"/>
      <w:r w:rsidR="002200A1" w:rsidRPr="00CF1AA2">
        <w:rPr>
          <w:rFonts w:hint="cs"/>
          <w:rtl/>
        </w:rPr>
        <w:tab/>
      </w:r>
      <w:bookmarkStart w:id="5" w:name="LGS_PM_NamesJoin"/>
      <w:r>
        <w:rPr>
          <w:rFonts w:hint="cs"/>
          <w:rtl/>
        </w:rPr>
        <w:t xml:space="preserve"> </w:t>
      </w:r>
      <w:bookmarkEnd w:id="5"/>
    </w:p>
    <w:p w14:paraId="34DB4103" w14:textId="77777777" w:rsidR="00904591" w:rsidRPr="00904591" w:rsidRDefault="00266D86" w:rsidP="0036422C">
      <w:pPr>
        <w:pStyle w:val="David"/>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31D6709E" w:rsidR="00E13C27" w:rsidRPr="00E06736" w:rsidRDefault="00904591" w:rsidP="00904591">
      <w:pPr>
        <w:pStyle w:val="David"/>
        <w:spacing w:line="240" w:lineRule="auto"/>
        <w:ind w:left="3544"/>
        <w:rPr>
          <w:rtl/>
        </w:rPr>
      </w:pPr>
      <w:r>
        <w:t xml:space="preserve">                                            </w:t>
      </w:r>
      <w:r w:rsidR="008F1308">
        <w:t xml:space="preserve"> </w:t>
      </w:r>
      <w:bookmarkStart w:id="6" w:name="Private_Number"/>
      <w:r w:rsidR="003B41C2">
        <w:rPr>
          <w:rtl/>
        </w:rPr>
        <w:tab/>
      </w:r>
      <w:r>
        <w:rPr>
          <w:rFonts w:hint="cs"/>
          <w:rtl/>
        </w:rPr>
        <w:t>פ/2537/25</w:t>
      </w:r>
      <w:bookmarkEnd w:id="6"/>
    </w:p>
    <w:p w14:paraId="7F6961AC" w14:textId="77777777" w:rsidR="00E13C27" w:rsidRDefault="00E13C27" w:rsidP="00E13C27">
      <w:pPr>
        <w:ind w:left="2880" w:firstLine="720"/>
        <w:rPr>
          <w:sz w:val="26"/>
          <w:szCs w:val="26"/>
          <w:rtl/>
        </w:rPr>
      </w:pPr>
    </w:p>
    <w:p w14:paraId="7F6961AD" w14:textId="77777777" w:rsidR="00E13C27" w:rsidRPr="00F67051" w:rsidRDefault="00A443CF" w:rsidP="0021633A">
      <w:pPr>
        <w:pStyle w:val="HeadHatzaotHok"/>
        <w:rPr>
          <w:rtl/>
        </w:rPr>
      </w:pPr>
      <w:bookmarkStart w:id="7" w:name="LGS_Subject"/>
      <w:r>
        <w:rPr>
          <w:rFonts w:hint="cs"/>
          <w:rtl/>
        </w:rPr>
        <w:t>הצעת חוק מרשם האוכלוסין (תיקון – הגדרת יהודי), התשפ"ג–2023</w:t>
      </w:r>
      <w:bookmarkEnd w:id="7"/>
    </w:p>
    <w:p w14:paraId="7F6961AE" w14:textId="77777777" w:rsidR="00E13C27" w:rsidRDefault="00E13C27" w:rsidP="0021633A">
      <w:pPr>
        <w:pStyle w:val="HeadDivreiHesber"/>
        <w:spacing w:before="0" w:after="0"/>
        <w:rPr>
          <w:rtl/>
        </w:rPr>
      </w:pPr>
    </w:p>
    <w:tbl>
      <w:tblPr>
        <w:bidiVisual/>
        <w:tblW w:w="9640" w:type="dxa"/>
        <w:tblLayout w:type="fixed"/>
        <w:tblCellMar>
          <w:top w:w="57" w:type="dxa"/>
          <w:left w:w="0" w:type="dxa"/>
          <w:bottom w:w="57" w:type="dxa"/>
          <w:right w:w="0" w:type="dxa"/>
        </w:tblCellMar>
        <w:tblLook w:val="04A0" w:firstRow="1" w:lastRow="0" w:firstColumn="1" w:lastColumn="0" w:noHBand="0" w:noVBand="1"/>
      </w:tblPr>
      <w:tblGrid>
        <w:gridCol w:w="1873"/>
        <w:gridCol w:w="624"/>
        <w:gridCol w:w="7143"/>
      </w:tblGrid>
      <w:tr w:rsidR="00246956" w14:paraId="769960E4" w14:textId="77777777" w:rsidTr="003B41C2">
        <w:trPr>
          <w:cantSplit/>
        </w:trPr>
        <w:tc>
          <w:tcPr>
            <w:tcW w:w="1873" w:type="dxa"/>
            <w:hideMark/>
          </w:tcPr>
          <w:p w14:paraId="1915C520" w14:textId="77777777" w:rsidR="00246956" w:rsidRDefault="00246956" w:rsidP="0005759C">
            <w:pPr>
              <w:pStyle w:val="TableSideHeading"/>
              <w:rPr>
                <w:sz w:val="26"/>
              </w:rPr>
            </w:pPr>
            <w:r>
              <w:rPr>
                <w:sz w:val="26"/>
                <w:rtl/>
              </w:rPr>
              <w:t>תיקון סעיף 3א</w:t>
            </w:r>
          </w:p>
        </w:tc>
        <w:tc>
          <w:tcPr>
            <w:tcW w:w="624" w:type="dxa"/>
            <w:hideMark/>
          </w:tcPr>
          <w:p w14:paraId="733824EE" w14:textId="77777777" w:rsidR="00246956" w:rsidRDefault="00246956" w:rsidP="0005759C">
            <w:pPr>
              <w:pStyle w:val="TableText"/>
            </w:pPr>
            <w:r>
              <w:rPr>
                <w:sz w:val="26"/>
                <w:rtl/>
              </w:rPr>
              <w:t>1.</w:t>
            </w:r>
          </w:p>
        </w:tc>
        <w:tc>
          <w:tcPr>
            <w:tcW w:w="7143" w:type="dxa"/>
            <w:hideMark/>
          </w:tcPr>
          <w:p w14:paraId="4BEDA32A" w14:textId="0B02A164" w:rsidR="00246956" w:rsidRDefault="00246956" w:rsidP="003B41C2">
            <w:pPr>
              <w:pStyle w:val="TableBlock"/>
              <w:rPr>
                <w:sz w:val="26"/>
              </w:rPr>
            </w:pPr>
            <w:r>
              <w:rPr>
                <w:sz w:val="26"/>
                <w:rtl/>
              </w:rPr>
              <w:t>בחוק מרשם האוכלוסין, התשכ"ה–1965</w:t>
            </w:r>
            <w:r w:rsidRPr="003B41C2">
              <w:rPr>
                <w:rStyle w:val="a6"/>
                <w:rFonts w:ascii="David" w:hAnsi="David"/>
                <w:sz w:val="26"/>
                <w:rtl/>
              </w:rPr>
              <w:footnoteReference w:id="2"/>
            </w:r>
            <w:r>
              <w:rPr>
                <w:sz w:val="26"/>
                <w:rtl/>
              </w:rPr>
              <w:t>, בסעיף 3א(ב), במקום הסיפ</w:t>
            </w:r>
            <w:r>
              <w:rPr>
                <w:rFonts w:hint="cs"/>
                <w:sz w:val="26"/>
                <w:rtl/>
              </w:rPr>
              <w:t>ה</w:t>
            </w:r>
            <w:r>
              <w:rPr>
                <w:sz w:val="26"/>
                <w:rtl/>
              </w:rPr>
              <w:t xml:space="preserve"> החל במילים "כמשמעותו" יבוא</w:t>
            </w:r>
            <w:r>
              <w:rPr>
                <w:rFonts w:hint="cs"/>
              </w:rPr>
              <w:t xml:space="preserve"> </w:t>
            </w:r>
            <w:r>
              <w:rPr>
                <w:sz w:val="26"/>
                <w:rtl/>
              </w:rPr>
              <w:t>"מי שלפחות אחד מהוריו יהודי או שהתגייר בהליך דתי או שהצטרף לעם היהודי בהליך לא דתי וקשר גורלו עם העם היהודי והוא אינו בן דת אחרת</w:t>
            </w:r>
            <w:r w:rsidR="001C44AE">
              <w:rPr>
                <w:rFonts w:hint="cs"/>
                <w:sz w:val="26"/>
                <w:rtl/>
              </w:rPr>
              <w:t>.</w:t>
            </w:r>
            <w:r>
              <w:rPr>
                <w:sz w:val="26"/>
                <w:rtl/>
              </w:rPr>
              <w:t>".</w:t>
            </w:r>
          </w:p>
        </w:tc>
      </w:tr>
    </w:tbl>
    <w:p w14:paraId="7F6961CA" w14:textId="77777777" w:rsidR="002D1EE3" w:rsidRDefault="002D1EE3" w:rsidP="002D1EE3">
      <w:pPr>
        <w:pStyle w:val="HeadDivreiHesber"/>
        <w:rPr>
          <w:rtl/>
        </w:rPr>
      </w:pPr>
      <w:r w:rsidRPr="0027450A">
        <w:rPr>
          <w:rFonts w:hint="cs"/>
          <w:rtl/>
        </w:rPr>
        <w:t>דברי הסבר</w:t>
      </w:r>
    </w:p>
    <w:p w14:paraId="1E13F09C" w14:textId="77777777" w:rsidR="00246956" w:rsidRPr="001C44AE" w:rsidRDefault="00246956" w:rsidP="003B41C2">
      <w:pPr>
        <w:pStyle w:val="Hesber"/>
        <w:spacing w:line="240" w:lineRule="auto"/>
        <w:ind w:firstLine="0"/>
      </w:pPr>
      <w:r w:rsidRPr="001C44AE">
        <w:rPr>
          <w:rtl/>
        </w:rPr>
        <w:t>הדת היהודית היא אחד מגילויי התרבות של היהדות בזמננו. על היהודים לקבוע את גבולות היהדות ולא להפך.</w:t>
      </w:r>
    </w:p>
    <w:p w14:paraId="7E024F75" w14:textId="77777777" w:rsidR="00246956" w:rsidRPr="001C44AE" w:rsidRDefault="00246956" w:rsidP="003B41C2">
      <w:pPr>
        <w:pStyle w:val="Hesber"/>
        <w:spacing w:line="240" w:lineRule="auto"/>
      </w:pPr>
      <w:r w:rsidRPr="001C44AE">
        <w:rPr>
          <w:rtl/>
        </w:rPr>
        <w:t>החלפת סעיף זה באה לתקן עוולה שהגיעה לממדי האבסורד: בגלי העליות השונים ובעיקר בעלייה הגדולה של יהודי ברית המועצות לשעבר, עלו, על פי סעיף 4א(א) לחוק השבות, התש"י</w:t>
      </w:r>
      <w:r w:rsidRPr="001C44AE">
        <w:rPr>
          <w:rFonts w:hint="cs"/>
          <w:rtl/>
        </w:rPr>
        <w:t>–</w:t>
      </w:r>
      <w:r w:rsidRPr="001C44AE">
        <w:rPr>
          <w:rtl/>
        </w:rPr>
        <w:t>1950, מאות אלפי אנשים שהינם ילדים או נכדים של יהודים, בני זוג של יהודים או בני זוג של ילד ושל נכד של יהודים. אנשים אלו קשרו את גורלם עם העם היהודי, הם רואים עצמם יהודיים ומעולם לא היו בני דת אחרת מעל הכול, תרומתם לחוסנו, קידומו והצלחתו של העם היהודי היא אדירת ממדים. עם זאת, לפי חוקי מדינת ישראל הם אינם יהודים.</w:t>
      </w:r>
    </w:p>
    <w:p w14:paraId="39AF43F3" w14:textId="52D359A1" w:rsidR="00246956" w:rsidRPr="001C44AE" w:rsidRDefault="00246956" w:rsidP="003B41C2">
      <w:pPr>
        <w:pStyle w:val="Hesber"/>
        <w:spacing w:line="240" w:lineRule="auto"/>
        <w:rPr>
          <w:rtl/>
        </w:rPr>
      </w:pPr>
      <w:r w:rsidRPr="001C44AE">
        <w:rPr>
          <w:rtl/>
        </w:rPr>
        <w:t>הצעה זו אינה קוראת תיגר על הקביעה הדתית בשאלה מיהו יהודי או פוגעת בסמכות של מוסדות הדת, אלא מפרידה בין הנטל הדתי, שהממסד האורתודוקסי לוקח על עצמו, לבין הנטל שמדינה אזרחית צריכה לקחת בקובעה מיהו יהודי לעניין מרשם האוכלוסין. משום כך, תיקון הסעיף בחוק הוא צעד נכון, חשוב ומחויב במציאות של המאה ה</w:t>
      </w:r>
      <w:r w:rsidR="003B41C2">
        <w:rPr>
          <w:rFonts w:hint="cs"/>
          <w:rtl/>
        </w:rPr>
        <w:t>-</w:t>
      </w:r>
      <w:r w:rsidRPr="001C44AE">
        <w:rPr>
          <w:rtl/>
        </w:rPr>
        <w:t xml:space="preserve">21. </w:t>
      </w:r>
    </w:p>
    <w:p w14:paraId="13CE9247" w14:textId="043E1008" w:rsidR="00246956" w:rsidRDefault="00246956" w:rsidP="003B41C2">
      <w:pPr>
        <w:pStyle w:val="Hesber"/>
        <w:spacing w:line="240" w:lineRule="auto"/>
        <w:rPr>
          <w:rtl/>
        </w:rPr>
      </w:pPr>
      <w:r w:rsidRPr="001C44AE">
        <w:rPr>
          <w:rtl/>
        </w:rPr>
        <w:t>הצעות חוק זהות הונחו על שולחן הכנסת השבע</w:t>
      </w:r>
      <w:r w:rsidR="003B41C2">
        <w:rPr>
          <w:rFonts w:hint="cs"/>
          <w:rtl/>
        </w:rPr>
        <w:t>-</w:t>
      </w:r>
      <w:r w:rsidRPr="001C44AE">
        <w:rPr>
          <w:rtl/>
        </w:rPr>
        <w:t>עשרה על ידי חבר הכנסת יוסי ביילין וקבוצת חברי הכנסת (פ/1265/17), על שולחן הכנסת השמונה</w:t>
      </w:r>
      <w:r w:rsidR="003B41C2">
        <w:rPr>
          <w:rFonts w:hint="cs"/>
          <w:rtl/>
        </w:rPr>
        <w:t>-</w:t>
      </w:r>
      <w:r w:rsidRPr="001C44AE">
        <w:rPr>
          <w:rtl/>
        </w:rPr>
        <w:t>עשרה על ידי חבר הכנסת חיים אור</w:t>
      </w:r>
      <w:r w:rsidR="003B41C2">
        <w:rPr>
          <w:rtl/>
        </w:rPr>
        <w:t>ון וקבוצת חברי הכנסת (פ/48/18)</w:t>
      </w:r>
      <w:r w:rsidR="003B41C2">
        <w:rPr>
          <w:rFonts w:hint="cs"/>
          <w:rtl/>
        </w:rPr>
        <w:t xml:space="preserve">, </w:t>
      </w:r>
      <w:r w:rsidRPr="001C44AE">
        <w:rPr>
          <w:rtl/>
        </w:rPr>
        <w:t>על ידי חברי הכנסת ניצן הורביץ ושלמה מולה</w:t>
      </w:r>
      <w:r w:rsidRPr="001C44AE">
        <w:rPr>
          <w:rFonts w:hint="cs"/>
          <w:rtl/>
        </w:rPr>
        <w:t xml:space="preserve"> </w:t>
      </w:r>
      <w:r w:rsidRPr="001C44AE">
        <w:rPr>
          <w:rtl/>
        </w:rPr>
        <w:t>(פ/1623/18), על שולחן הכנסת התשע</w:t>
      </w:r>
      <w:r w:rsidR="003B41C2">
        <w:rPr>
          <w:rFonts w:hint="cs"/>
          <w:rtl/>
        </w:rPr>
        <w:t>-</w:t>
      </w:r>
      <w:r w:rsidRPr="001C44AE">
        <w:rPr>
          <w:rtl/>
        </w:rPr>
        <w:t>עשרה על ידי חבר הכנסת ניצן הורוביץ וקבוצת חברי הכנסת (פ/651/19)</w:t>
      </w:r>
      <w:r w:rsidRPr="001C44AE">
        <w:rPr>
          <w:rFonts w:hint="cs"/>
          <w:rtl/>
        </w:rPr>
        <w:t xml:space="preserve">, </w:t>
      </w:r>
      <w:r w:rsidRPr="001C44AE">
        <w:rPr>
          <w:rtl/>
        </w:rPr>
        <w:t xml:space="preserve">על שולחן הכנסת </w:t>
      </w:r>
      <w:r w:rsidR="003B41C2">
        <w:rPr>
          <w:rtl/>
        </w:rPr>
        <w:t>העשרים</w:t>
      </w:r>
      <w:r w:rsidR="003B41C2">
        <w:rPr>
          <w:rFonts w:hint="cs"/>
          <w:rtl/>
        </w:rPr>
        <w:t xml:space="preserve">, </w:t>
      </w:r>
      <w:r w:rsidRPr="001C44AE">
        <w:rPr>
          <w:rFonts w:hint="cs"/>
          <w:rtl/>
        </w:rPr>
        <w:t xml:space="preserve">על שולחן הכנסת העשרים ושלוש </w:t>
      </w:r>
      <w:r w:rsidR="003B41C2" w:rsidRPr="001C44AE">
        <w:rPr>
          <w:rFonts w:hint="cs"/>
          <w:rtl/>
        </w:rPr>
        <w:t>ועל שולחן הכנסת העשרים וארבע</w:t>
      </w:r>
      <w:r w:rsidR="003B41C2" w:rsidRPr="001C44AE">
        <w:rPr>
          <w:rtl/>
        </w:rPr>
        <w:t xml:space="preserve"> </w:t>
      </w:r>
      <w:r w:rsidRPr="001C44AE">
        <w:rPr>
          <w:rtl/>
        </w:rPr>
        <w:t>על ידי חברת הכנסת מרב מיכאלי (פ/750/20</w:t>
      </w:r>
      <w:r w:rsidR="003B41C2">
        <w:rPr>
          <w:rFonts w:hint="cs"/>
          <w:rtl/>
        </w:rPr>
        <w:t xml:space="preserve">; פ/547/23; </w:t>
      </w:r>
      <w:r w:rsidRPr="001C44AE">
        <w:rPr>
          <w:rFonts w:hint="cs"/>
          <w:rtl/>
        </w:rPr>
        <w:t>פ</w:t>
      </w:r>
      <w:r w:rsidR="00144869">
        <w:rPr>
          <w:rFonts w:hint="cs"/>
          <w:rtl/>
        </w:rPr>
        <w:t>/</w:t>
      </w:r>
      <w:r w:rsidRPr="001C44AE">
        <w:rPr>
          <w:rFonts w:hint="cs"/>
          <w:rtl/>
        </w:rPr>
        <w:t>1271/24).</w:t>
      </w:r>
    </w:p>
    <w:p w14:paraId="4C0FD257" w14:textId="6494A532" w:rsidR="00144869" w:rsidRPr="001C44AE" w:rsidRDefault="00144869" w:rsidP="003B41C2">
      <w:pPr>
        <w:pStyle w:val="Hesber"/>
        <w:spacing w:line="240" w:lineRule="auto"/>
        <w:rPr>
          <w:rtl/>
        </w:rPr>
      </w:pPr>
      <w:r>
        <w:rPr>
          <w:rFonts w:hint="cs"/>
          <w:rtl/>
        </w:rPr>
        <w:t>הצעת החוק זהה ל</w:t>
      </w:r>
      <w:r w:rsidRPr="001C44AE">
        <w:rPr>
          <w:rFonts w:hint="cs"/>
          <w:rtl/>
        </w:rPr>
        <w:t>פ</w:t>
      </w:r>
      <w:r>
        <w:rPr>
          <w:rFonts w:hint="cs"/>
          <w:rtl/>
        </w:rPr>
        <w:t>/</w:t>
      </w:r>
      <w:r w:rsidRPr="001C44AE">
        <w:rPr>
          <w:rFonts w:hint="cs"/>
          <w:rtl/>
        </w:rPr>
        <w:t>1271/24</w:t>
      </w:r>
      <w:r>
        <w:rPr>
          <w:rFonts w:hint="cs"/>
          <w:rtl/>
        </w:rPr>
        <w:t xml:space="preserve"> ולפיכך לא נבדקה מחדש על ידי הלשכה המשפטית של הכנסת.</w:t>
      </w:r>
    </w:p>
    <w:p w14:paraId="7F6961CB" w14:textId="77777777" w:rsidR="00E13C27" w:rsidRPr="00246956" w:rsidRDefault="00E13C27" w:rsidP="003B41C2">
      <w:pPr>
        <w:pStyle w:val="Hesber"/>
        <w:spacing w:line="240" w:lineRule="auto"/>
        <w:rPr>
          <w:rtl/>
        </w:rPr>
      </w:pPr>
    </w:p>
    <w:p w14:paraId="15663530" w14:textId="77777777" w:rsidR="00A26A5A" w:rsidRDefault="003B41C2" w:rsidP="003B41C2">
      <w:pPr>
        <w:spacing w:line="240" w:lineRule="auto"/>
        <w:jc w:val="left"/>
      </w:pPr>
      <w:bookmarkStart w:id="8" w:name="selectedDocDateB"/>
      <w:bookmarkEnd w:id="8"/>
      <w:r>
        <w:rPr>
          <w:rFonts w:eastAsia="David" w:hint="cs"/>
          <w:sz w:val="26"/>
          <w:szCs w:val="26"/>
          <w:rtl/>
        </w:rPr>
        <w:t>--------------------------------</w:t>
      </w:r>
    </w:p>
    <w:p w14:paraId="0D134084" w14:textId="77777777" w:rsidR="00A26A5A" w:rsidRDefault="003B41C2" w:rsidP="003B41C2">
      <w:pPr>
        <w:spacing w:line="240" w:lineRule="auto"/>
        <w:jc w:val="left"/>
      </w:pPr>
      <w:r>
        <w:rPr>
          <w:rFonts w:eastAsia="David" w:hint="cs"/>
          <w:sz w:val="26"/>
          <w:szCs w:val="26"/>
          <w:rtl/>
        </w:rPr>
        <w:t>הוגשה ליו"ר הכנסת והסגנים</w:t>
      </w:r>
    </w:p>
    <w:p w14:paraId="369EC5C5" w14:textId="77777777" w:rsidR="00A26A5A" w:rsidRDefault="003B41C2" w:rsidP="003B41C2">
      <w:pPr>
        <w:spacing w:line="240" w:lineRule="auto"/>
        <w:jc w:val="left"/>
      </w:pPr>
      <w:r>
        <w:rPr>
          <w:rFonts w:eastAsia="David" w:hint="cs"/>
          <w:sz w:val="26"/>
          <w:szCs w:val="26"/>
          <w:rtl/>
        </w:rPr>
        <w:t xml:space="preserve">והונחה על שולחן </w:t>
      </w:r>
      <w:r>
        <w:rPr>
          <w:rFonts w:eastAsia="David" w:hint="cs"/>
          <w:sz w:val="26"/>
          <w:szCs w:val="26"/>
          <w:rtl/>
        </w:rPr>
        <w:t>הכנסת ביום</w:t>
      </w:r>
    </w:p>
    <w:p w14:paraId="47BC145E" w14:textId="7A39E34B" w:rsidR="00A26A5A" w:rsidRDefault="003B41C2" w:rsidP="003B41C2">
      <w:pPr>
        <w:spacing w:line="240" w:lineRule="auto"/>
        <w:jc w:val="left"/>
      </w:pPr>
      <w:r>
        <w:rPr>
          <w:rFonts w:eastAsia="David" w:hint="cs"/>
          <w:sz w:val="26"/>
          <w:szCs w:val="26"/>
          <w:rtl/>
        </w:rPr>
        <w:t xml:space="preserve">כ"ט בשבט התשפ"ג (20.02.2023) </w:t>
      </w:r>
      <w:bookmarkStart w:id="9" w:name="_GoBack"/>
      <w:bookmarkEnd w:id="9"/>
    </w:p>
    <w:sectPr w:rsidR="00A26A5A" w:rsidSect="003B41C2">
      <w:footerReference w:type="even" r:id="rId11"/>
      <w:footerReference w:type="default" r:id="rId12"/>
      <w:pgSz w:w="11907" w:h="16840" w:code="9"/>
      <w:pgMar w:top="1701" w:right="1134" w:bottom="1417" w:left="1134" w:header="680" w:footer="680" w:gutter="0"/>
      <w:cols w:space="720"/>
      <w:noEndnote/>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61D7" w14:textId="54ACF8C6"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3B41C2">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674C0" w14:textId="77777777" w:rsidR="00D142D3" w:rsidRDefault="00D142D3" w:rsidP="003B41C2">
      <w:pPr>
        <w:ind w:left="0"/>
      </w:pPr>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7526F479" w14:textId="77777777" w:rsidR="00246956" w:rsidRDefault="00246956" w:rsidP="00246956">
      <w:pPr>
        <w:pStyle w:val="a4"/>
      </w:pPr>
      <w:r>
        <w:rPr>
          <w:rStyle w:val="a6"/>
        </w:rPr>
        <w:footnoteRef/>
      </w:r>
      <w:r>
        <w:rPr>
          <w:sz w:val="20"/>
          <w:rtl/>
        </w:rPr>
        <w:t xml:space="preserve"> ס"ח התשכ"ה, עמ' 270.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1"/>
  </w:num>
  <w:num w:numId="14">
    <w:abstractNumId w:val="16"/>
  </w:num>
  <w:num w:numId="15">
    <w:abstractNumId w:val="13"/>
  </w:num>
  <w:num w:numId="16">
    <w:abstractNumId w:val="13"/>
    <w:lvlOverride w:ilvl="0">
      <w:startOverride w:val="1"/>
    </w:lvlOverride>
  </w:num>
  <w:num w:numId="17">
    <w:abstractNumId w:val="10"/>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44869"/>
    <w:rsid w:val="00152609"/>
    <w:rsid w:val="00153E1B"/>
    <w:rsid w:val="001A0623"/>
    <w:rsid w:val="001C23B0"/>
    <w:rsid w:val="001C44AE"/>
    <w:rsid w:val="001D7AAF"/>
    <w:rsid w:val="00203A7F"/>
    <w:rsid w:val="0021633A"/>
    <w:rsid w:val="002200A1"/>
    <w:rsid w:val="002362BF"/>
    <w:rsid w:val="00241B97"/>
    <w:rsid w:val="002425D1"/>
    <w:rsid w:val="00246756"/>
    <w:rsid w:val="002469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B41C2"/>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13B89"/>
    <w:rsid w:val="00553C9D"/>
    <w:rsid w:val="00562A66"/>
    <w:rsid w:val="005B064E"/>
    <w:rsid w:val="005C0F04"/>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A5A"/>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D7F6D"/>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AAACBD02-1F9D-408C-9DBD-DC65546CB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41C2"/>
    <w:pPr>
      <w:widowControl w:val="0"/>
      <w:bidi/>
      <w:spacing w:line="360" w:lineRule="auto"/>
      <w:ind w:left="340"/>
      <w:contextualSpacing/>
      <w:jc w:val="both"/>
    </w:pPr>
    <w:rPr>
      <w:rFonts w:ascii="David" w:eastAsiaTheme="minorHAnsi" w:hAnsi="David" w:cs="David"/>
      <w:sz w:val="24"/>
      <w:szCs w:val="24"/>
    </w:rPr>
  </w:style>
  <w:style w:type="paragraph" w:styleId="1">
    <w:name w:val="heading 1"/>
    <w:basedOn w:val="a"/>
    <w:next w:val="a"/>
    <w:link w:val="10"/>
    <w:uiPriority w:val="9"/>
    <w:qFormat/>
    <w:rsid w:val="003B41C2"/>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3B41C2"/>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3B41C2"/>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3B41C2"/>
    <w:pPr>
      <w:numPr>
        <w:numId w:val="18"/>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3B41C2"/>
    <w:pPr>
      <w:spacing w:line="259" w:lineRule="auto"/>
      <w:outlineLvl w:val="4"/>
    </w:pPr>
    <w:rPr>
      <w:color w:val="000000" w:themeColor="text1"/>
    </w:rPr>
  </w:style>
  <w:style w:type="character" w:default="1" w:styleId="a0">
    <w:name w:val="Default Paragraph Font"/>
    <w:uiPriority w:val="1"/>
    <w:semiHidden/>
    <w:unhideWhenUsed/>
    <w:rsid w:val="003B41C2"/>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3B41C2"/>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3B41C2"/>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3B41C2"/>
    <w:rPr>
      <w:sz w:val="36"/>
      <w:szCs w:val="52"/>
    </w:rPr>
  </w:style>
  <w:style w:type="paragraph" w:customStyle="1" w:styleId="Cover3-Haknesset">
    <w:name w:val="Cover 3-Haknesset"/>
    <w:basedOn w:val="Cover1-Reshumot"/>
    <w:rsid w:val="003B41C2"/>
    <w:rPr>
      <w:b/>
      <w:bCs/>
      <w:spacing w:val="60"/>
    </w:rPr>
  </w:style>
  <w:style w:type="paragraph" w:customStyle="1" w:styleId="Cover4-Date">
    <w:name w:val="Cover 4-Date"/>
    <w:basedOn w:val="a"/>
    <w:rsid w:val="003B41C2"/>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3B41C2"/>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3B41C2"/>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3B41C2"/>
    <w:pPr>
      <w:spacing w:before="120" w:after="120"/>
    </w:pPr>
    <w:rPr>
      <w:color w:val="FF0000"/>
      <w:w w:val="80"/>
    </w:rPr>
  </w:style>
  <w:style w:type="paragraph" w:styleId="a3">
    <w:name w:val="endnote text"/>
    <w:basedOn w:val="a"/>
    <w:semiHidden/>
    <w:rsid w:val="003B41C2"/>
    <w:pPr>
      <w:ind w:left="227" w:hanging="227"/>
    </w:pPr>
    <w:rPr>
      <w:sz w:val="14"/>
      <w:szCs w:val="22"/>
    </w:rPr>
  </w:style>
  <w:style w:type="paragraph" w:customStyle="1" w:styleId="TableText">
    <w:name w:val="Table Text"/>
    <w:basedOn w:val="a"/>
    <w:rsid w:val="003B41C2"/>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3B41C2"/>
    <w:pPr>
      <w:outlineLvl w:val="2"/>
    </w:pPr>
  </w:style>
  <w:style w:type="paragraph" w:customStyle="1" w:styleId="TableBlock">
    <w:name w:val="Table Block"/>
    <w:basedOn w:val="TableText"/>
    <w:rsid w:val="003B41C2"/>
    <w:pPr>
      <w:jc w:val="both"/>
    </w:pPr>
  </w:style>
  <w:style w:type="paragraph" w:customStyle="1" w:styleId="TableHead">
    <w:name w:val="Table Head"/>
    <w:basedOn w:val="TableText"/>
    <w:rsid w:val="003B41C2"/>
    <w:pPr>
      <w:jc w:val="center"/>
      <w:outlineLvl w:val="1"/>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3B41C2"/>
    <w:pPr>
      <w:outlineLvl w:val="9"/>
    </w:pPr>
  </w:style>
  <w:style w:type="paragraph" w:customStyle="1" w:styleId="Hesber">
    <w:name w:val="Hesber"/>
    <w:basedOn w:val="a"/>
    <w:rsid w:val="003B41C2"/>
    <w:pPr>
      <w:snapToGrid w:val="0"/>
      <w:ind w:left="0" w:firstLine="340"/>
    </w:pPr>
    <w:rPr>
      <w:rFonts w:ascii="Arial" w:eastAsia="Arial Unicode MS" w:hAnsi="Arial"/>
      <w:snapToGrid w:val="0"/>
      <w:sz w:val="20"/>
      <w:szCs w:val="26"/>
    </w:rPr>
  </w:style>
  <w:style w:type="paragraph" w:styleId="a4">
    <w:name w:val="footnote text"/>
    <w:basedOn w:val="a"/>
    <w:link w:val="a5"/>
    <w:autoRedefine/>
    <w:semiHidden/>
    <w:rsid w:val="003B41C2"/>
    <w:pPr>
      <w:snapToGrid w:val="0"/>
      <w:spacing w:line="240" w:lineRule="auto"/>
      <w:ind w:left="0"/>
      <w:jc w:val="left"/>
    </w:pPr>
    <w:rPr>
      <w:rFonts w:ascii="Arial" w:eastAsia="Arial Unicode MS" w:hAnsi="Arial"/>
      <w:snapToGrid w:val="0"/>
      <w:sz w:val="14"/>
      <w:szCs w:val="20"/>
    </w:rPr>
  </w:style>
  <w:style w:type="character" w:styleId="a6">
    <w:name w:val="footnote reference"/>
    <w:aliases w:val="Footnote Reference"/>
    <w:basedOn w:val="a0"/>
    <w:semiHidden/>
    <w:rsid w:val="003B41C2"/>
    <w:rPr>
      <w:vertAlign w:val="superscript"/>
    </w:rPr>
  </w:style>
  <w:style w:type="paragraph" w:customStyle="1" w:styleId="HesberHeading">
    <w:name w:val="Hesber Heading"/>
    <w:basedOn w:val="Hesber"/>
    <w:rsid w:val="003B41C2"/>
    <w:pPr>
      <w:tabs>
        <w:tab w:val="left" w:pos="624"/>
        <w:tab w:val="left" w:pos="1247"/>
      </w:tabs>
    </w:pPr>
    <w:rPr>
      <w:b/>
      <w:bCs/>
    </w:rPr>
  </w:style>
  <w:style w:type="paragraph" w:customStyle="1" w:styleId="HesberWriters">
    <w:name w:val="Hesber Writers"/>
    <w:basedOn w:val="Hesber"/>
    <w:rsid w:val="003B41C2"/>
    <w:pPr>
      <w:spacing w:before="120" w:after="120"/>
      <w:ind w:left="1418"/>
      <w:jc w:val="right"/>
    </w:pPr>
    <w:rPr>
      <w:b/>
      <w:bCs/>
    </w:rPr>
  </w:style>
  <w:style w:type="paragraph" w:customStyle="1" w:styleId="Hesber1st">
    <w:name w:val="Hesber 1st"/>
    <w:basedOn w:val="Hesber"/>
    <w:rsid w:val="003B41C2"/>
    <w:pPr>
      <w:tabs>
        <w:tab w:val="left" w:pos="680"/>
        <w:tab w:val="left" w:pos="1020"/>
      </w:tabs>
      <w:ind w:firstLine="0"/>
    </w:pPr>
  </w:style>
  <w:style w:type="character" w:styleId="a7">
    <w:name w:val="endnote reference"/>
    <w:basedOn w:val="a0"/>
    <w:semiHidden/>
    <w:rsid w:val="003B41C2"/>
    <w:rPr>
      <w:vertAlign w:val="superscript"/>
    </w:rPr>
  </w:style>
  <w:style w:type="paragraph" w:customStyle="1" w:styleId="TableBlockOutdent">
    <w:name w:val="Table BlockOutdent"/>
    <w:basedOn w:val="TableBlock"/>
    <w:rsid w:val="003B41C2"/>
    <w:pPr>
      <w:ind w:left="624" w:hanging="624"/>
    </w:pPr>
  </w:style>
  <w:style w:type="paragraph" w:styleId="a8">
    <w:name w:val="header"/>
    <w:basedOn w:val="a"/>
    <w:rsid w:val="003B41C2"/>
    <w:pPr>
      <w:tabs>
        <w:tab w:val="center" w:pos="4153"/>
        <w:tab w:val="right" w:pos="8306"/>
      </w:tabs>
    </w:pPr>
  </w:style>
  <w:style w:type="paragraph" w:styleId="a9">
    <w:name w:val="footer"/>
    <w:basedOn w:val="a"/>
    <w:rsid w:val="003B41C2"/>
    <w:pPr>
      <w:tabs>
        <w:tab w:val="center" w:pos="4153"/>
        <w:tab w:val="right" w:pos="8306"/>
      </w:tabs>
    </w:pPr>
  </w:style>
  <w:style w:type="paragraph" w:customStyle="1" w:styleId="HeadDivreiHesber">
    <w:name w:val="Head DivreiHesber"/>
    <w:basedOn w:val="a"/>
    <w:rsid w:val="003B41C2"/>
    <w:pPr>
      <w:snapToGrid w:val="0"/>
      <w:spacing w:before="360" w:after="120"/>
      <w:jc w:val="center"/>
      <w:outlineLvl w:val="1"/>
    </w:pPr>
    <w:rPr>
      <w:rFonts w:ascii="Arial" w:eastAsia="Arial Unicode MS" w:hAnsi="Arial"/>
      <w:b/>
      <w:snapToGrid w:val="0"/>
      <w:spacing w:val="40"/>
      <w:sz w:val="20"/>
      <w:szCs w:val="26"/>
    </w:rPr>
  </w:style>
  <w:style w:type="paragraph" w:customStyle="1" w:styleId="Ragil">
    <w:name w:val="Ragil"/>
    <w:basedOn w:val="a"/>
    <w:rsid w:val="003B41C2"/>
    <w:pPr>
      <w:snapToGrid w:val="0"/>
      <w:jc w:val="left"/>
    </w:pPr>
    <w:rPr>
      <w:rFonts w:ascii="Arial" w:eastAsia="Arial Unicode MS" w:hAnsi="Arial"/>
      <w:snapToGrid w:val="0"/>
      <w:sz w:val="20"/>
      <w:szCs w:val="26"/>
    </w:rPr>
  </w:style>
  <w:style w:type="paragraph" w:styleId="aa">
    <w:name w:val="Title"/>
    <w:basedOn w:val="a"/>
    <w:qFormat/>
    <w:rsid w:val="00943386"/>
    <w:pPr>
      <w:jc w:val="center"/>
    </w:pPr>
    <w:rPr>
      <w:b/>
      <w:bCs/>
      <w:sz w:val="28"/>
      <w:szCs w:val="28"/>
      <w:u w:val="single"/>
    </w:rPr>
  </w:style>
  <w:style w:type="character" w:styleId="ab">
    <w:name w:val="page number"/>
    <w:basedOn w:val="a0"/>
    <w:rsid w:val="003B41C2"/>
  </w:style>
  <w:style w:type="paragraph" w:customStyle="1" w:styleId="David">
    <w:name w:val="רגיל + (עברית ושפות אחרות) David"/>
    <w:aliases w:val="‏13 נק',מודגש,אחרי:  6 נק'"/>
    <w:basedOn w:val="a"/>
    <w:rsid w:val="001207F8"/>
    <w:pPr>
      <w:jc w:val="left"/>
    </w:pPr>
    <w:rPr>
      <w:sz w:val="26"/>
      <w:szCs w:val="26"/>
    </w:rPr>
  </w:style>
  <w:style w:type="paragraph" w:styleId="ac">
    <w:name w:val="Balloon Text"/>
    <w:basedOn w:val="a"/>
    <w:link w:val="ad"/>
    <w:semiHidden/>
    <w:unhideWhenUsed/>
    <w:rsid w:val="00325C14"/>
    <w:pPr>
      <w:spacing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rsid w:val="00246956"/>
    <w:rPr>
      <w:rFonts w:ascii="Arial" w:eastAsia="Arial Unicode MS" w:hAnsi="Arial" w:cs="David"/>
      <w:snapToGrid w:val="0"/>
      <w:sz w:val="14"/>
    </w:rPr>
  </w:style>
  <w:style w:type="character" w:customStyle="1" w:styleId="10">
    <w:name w:val="כותרת 1 תו"/>
    <w:basedOn w:val="a0"/>
    <w:link w:val="1"/>
    <w:uiPriority w:val="9"/>
    <w:rsid w:val="003B41C2"/>
    <w:rPr>
      <w:rFonts w:asciiTheme="majorHAnsi" w:eastAsiaTheme="majorEastAsia" w:hAnsiTheme="majorHAnsi" w:cs="David"/>
      <w:bCs/>
      <w:sz w:val="32"/>
      <w:szCs w:val="36"/>
    </w:rPr>
  </w:style>
  <w:style w:type="character" w:customStyle="1" w:styleId="20">
    <w:name w:val="כותרת 2 תו"/>
    <w:basedOn w:val="a0"/>
    <w:link w:val="2"/>
    <w:rsid w:val="003B41C2"/>
    <w:rPr>
      <w:rFonts w:asciiTheme="majorHAnsi" w:eastAsiaTheme="majorEastAsia" w:hAnsiTheme="majorHAnsi" w:cs="David"/>
      <w:bCs/>
      <w:sz w:val="26"/>
      <w:szCs w:val="36"/>
      <w:u w:val="single"/>
    </w:rPr>
  </w:style>
  <w:style w:type="character" w:customStyle="1" w:styleId="30">
    <w:name w:val="כותרת 3 תו"/>
    <w:basedOn w:val="a0"/>
    <w:link w:val="3"/>
    <w:rsid w:val="003B41C2"/>
    <w:rPr>
      <w:rFonts w:asciiTheme="majorHAnsi" w:eastAsiaTheme="majorEastAsia" w:hAnsiTheme="majorHAnsi" w:cs="David"/>
      <w:sz w:val="24"/>
      <w:szCs w:val="28"/>
      <w:u w:val="double"/>
    </w:rPr>
  </w:style>
  <w:style w:type="character" w:customStyle="1" w:styleId="40">
    <w:name w:val="כותרת 4 תו"/>
    <w:basedOn w:val="a0"/>
    <w:link w:val="4"/>
    <w:uiPriority w:val="9"/>
    <w:rsid w:val="003B41C2"/>
    <w:rPr>
      <w:rFonts w:ascii="David" w:eastAsiaTheme="minorHAnsi" w:hAnsi="David" w:cs="David"/>
      <w:b/>
      <w:bCs/>
      <w:color w:val="000000" w:themeColor="text1"/>
      <w:sz w:val="24"/>
      <w:szCs w:val="28"/>
    </w:rPr>
  </w:style>
  <w:style w:type="character" w:customStyle="1" w:styleId="50">
    <w:name w:val="כותרת 5 תו"/>
    <w:basedOn w:val="a0"/>
    <w:link w:val="5"/>
    <w:uiPriority w:val="9"/>
    <w:rsid w:val="003B41C2"/>
    <w:rPr>
      <w:rFonts w:ascii="David" w:eastAsiaTheme="minorHAnsi" w:hAnsi="David" w:cs="David"/>
      <w:color w:val="000000" w:themeColor="text1"/>
      <w:sz w:val="24"/>
      <w:szCs w:val="24"/>
    </w:rPr>
  </w:style>
  <w:style w:type="paragraph" w:styleId="ae">
    <w:name w:val="TOC Heading"/>
    <w:basedOn w:val="1"/>
    <w:next w:val="a"/>
    <w:uiPriority w:val="39"/>
    <w:unhideWhenUsed/>
    <w:qFormat/>
    <w:rsid w:val="003B41C2"/>
    <w:pPr>
      <w:widowControl/>
      <w:spacing w:before="120" w:after="120"/>
      <w:outlineLvl w:val="9"/>
    </w:pPr>
    <w:rPr>
      <w:rtl/>
      <w:cs/>
    </w:rPr>
  </w:style>
  <w:style w:type="paragraph" w:styleId="TOC1">
    <w:name w:val="toc 1"/>
    <w:basedOn w:val="a"/>
    <w:next w:val="a"/>
    <w:autoRedefine/>
    <w:uiPriority w:val="39"/>
    <w:unhideWhenUsed/>
    <w:rsid w:val="003B41C2"/>
    <w:pPr>
      <w:tabs>
        <w:tab w:val="right" w:leader="dot" w:pos="9629"/>
      </w:tabs>
      <w:spacing w:after="100"/>
    </w:pPr>
    <w:rPr>
      <w:bCs/>
      <w:szCs w:val="22"/>
    </w:rPr>
  </w:style>
  <w:style w:type="paragraph" w:styleId="TOC2">
    <w:name w:val="toc 2"/>
    <w:basedOn w:val="a"/>
    <w:next w:val="a"/>
    <w:uiPriority w:val="39"/>
    <w:unhideWhenUsed/>
    <w:rsid w:val="003B41C2"/>
    <w:pPr>
      <w:tabs>
        <w:tab w:val="right" w:leader="dot" w:pos="9628"/>
      </w:tabs>
      <w:spacing w:after="100"/>
    </w:pPr>
    <w:rPr>
      <w:szCs w:val="22"/>
    </w:rPr>
  </w:style>
  <w:style w:type="character" w:styleId="Hyperlink">
    <w:name w:val="Hyperlink"/>
    <w:basedOn w:val="a0"/>
    <w:uiPriority w:val="99"/>
    <w:unhideWhenUsed/>
    <w:rsid w:val="003B41C2"/>
    <w:rPr>
      <w:color w:val="0000FF" w:themeColor="hyperlink"/>
      <w:u w:val="single"/>
    </w:rPr>
  </w:style>
  <w:style w:type="paragraph" w:styleId="TOC3">
    <w:name w:val="toc 3"/>
    <w:basedOn w:val="a"/>
    <w:next w:val="a"/>
    <w:uiPriority w:val="39"/>
    <w:unhideWhenUsed/>
    <w:rsid w:val="003B41C2"/>
    <w:pPr>
      <w:numPr>
        <w:numId w:val="21"/>
      </w:numPr>
      <w:tabs>
        <w:tab w:val="right" w:leader="dot" w:pos="9629"/>
      </w:tabs>
      <w:spacing w:after="100"/>
      <w:ind w:left="811" w:hanging="357"/>
    </w:pPr>
    <w:rPr>
      <w:szCs w:val="22"/>
    </w:rPr>
  </w:style>
  <w:style w:type="paragraph" w:styleId="TOC4">
    <w:name w:val="toc 4"/>
    <w:basedOn w:val="a"/>
    <w:next w:val="a"/>
    <w:autoRedefine/>
    <w:unhideWhenUsed/>
    <w:qFormat/>
    <w:rsid w:val="003B41C2"/>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3B41C2"/>
    <w:pPr>
      <w:tabs>
        <w:tab w:val="right" w:leader="dot" w:pos="9628"/>
      </w:tabs>
      <w:spacing w:after="100"/>
      <w:ind w:left="567"/>
    </w:pPr>
    <w:rPr>
      <w:szCs w:val="22"/>
    </w:rPr>
  </w:style>
  <w:style w:type="paragraph" w:styleId="TOC6">
    <w:name w:val="toc 6"/>
    <w:basedOn w:val="a"/>
    <w:next w:val="a"/>
    <w:autoRedefine/>
    <w:semiHidden/>
    <w:unhideWhenUsed/>
    <w:rsid w:val="003B41C2"/>
    <w:pPr>
      <w:spacing w:after="100"/>
      <w:ind w:left="850"/>
    </w:pPr>
  </w:style>
  <w:style w:type="paragraph" w:styleId="TOC7">
    <w:name w:val="toc 7"/>
    <w:basedOn w:val="a"/>
    <w:next w:val="a"/>
    <w:autoRedefine/>
    <w:semiHidden/>
    <w:unhideWhenUsed/>
    <w:rsid w:val="003B41C2"/>
    <w:pPr>
      <w:spacing w:after="100"/>
      <w:ind w:left="1020"/>
    </w:pPr>
  </w:style>
  <w:style w:type="paragraph" w:styleId="TOC8">
    <w:name w:val="toc 8"/>
    <w:basedOn w:val="a"/>
    <w:next w:val="a"/>
    <w:autoRedefine/>
    <w:semiHidden/>
    <w:unhideWhenUsed/>
    <w:rsid w:val="003B41C2"/>
    <w:pPr>
      <w:spacing w:after="100"/>
      <w:ind w:left="1190"/>
    </w:pPr>
  </w:style>
  <w:style w:type="paragraph" w:styleId="TOC9">
    <w:name w:val="toc 9"/>
    <w:basedOn w:val="a"/>
    <w:next w:val="a"/>
    <w:autoRedefine/>
    <w:semiHidden/>
    <w:unhideWhenUsed/>
    <w:rsid w:val="003B41C2"/>
    <w:pPr>
      <w:spacing w:after="100"/>
      <w:ind w:left="1360"/>
    </w:pPr>
  </w:style>
  <w:style w:type="paragraph" w:customStyle="1" w:styleId="TableHead2">
    <w:name w:val="Table Head2"/>
    <w:basedOn w:val="TableHead"/>
    <w:qFormat/>
    <w:rsid w:val="003B41C2"/>
    <w:pPr>
      <w:outlineLvl w:val="9"/>
    </w:pPr>
  </w:style>
  <w:style w:type="paragraph" w:customStyle="1" w:styleId="TableSideHeading2">
    <w:name w:val="Table SideHeading2"/>
    <w:basedOn w:val="TableSideHeading"/>
    <w:autoRedefine/>
    <w:qFormat/>
    <w:rsid w:val="003B41C2"/>
    <w:pPr>
      <w:keepLines w:val="0"/>
      <w:outlineLvl w:val="9"/>
    </w:pPr>
  </w:style>
  <w:style w:type="paragraph" w:customStyle="1" w:styleId="0">
    <w:name w:val="סגנון שורה ראשונה:  0  ס''מ"/>
    <w:basedOn w:val="2"/>
    <w:rsid w:val="003B41C2"/>
    <w:rPr>
      <w:rFonts w:eastAsia="Times New Roman"/>
    </w:rPr>
  </w:style>
  <w:style w:type="paragraph" w:styleId="af">
    <w:name w:val="List Paragraph"/>
    <w:basedOn w:val="a"/>
    <w:uiPriority w:val="34"/>
    <w:qFormat/>
    <w:rsid w:val="003B41C2"/>
    <w:pPr>
      <w:widowControl/>
      <w:spacing w:line="259" w:lineRule="auto"/>
    </w:pPr>
    <w:rPr>
      <w:rFonts w:asciiTheme="minorHAnsi" w:hAnsiTheme="minorHAnsi"/>
      <w:sz w:val="22"/>
    </w:rPr>
  </w:style>
  <w:style w:type="table" w:styleId="af0">
    <w:name w:val="Table Grid"/>
    <w:basedOn w:val="a1"/>
    <w:rsid w:val="003B41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3B41C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3B41C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1">
    <w:name w:val="טבלת חקיקה"/>
    <w:basedOn w:val="a1"/>
    <w:uiPriority w:val="99"/>
    <w:rsid w:val="003B41C2"/>
    <w:pPr>
      <w:jc w:val="center"/>
    </w:pPr>
    <w:rPr>
      <w:rFonts w:cstheme="minorBidi"/>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3B41C2"/>
    <w:tblPr/>
    <w:tblStylePr w:type="firstCol">
      <w:pPr>
        <w:keepNext w:val="0"/>
        <w:keepLines/>
        <w:pageBreakBefore w:val="0"/>
        <w:widowControl w:val="0"/>
        <w:suppressLineNumbers w:val="0"/>
        <w:suppressAutoHyphens w:val="0"/>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62911-6B33-4EF4-823A-676186914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F4AFE3-9455-419C-8851-785A55F44517}">
  <ds:schemaRefs>
    <ds:schemaRef ds:uri="http://www.w3.org/XML/1998/namespace"/>
    <ds:schemaRef ds:uri="http://schemas.microsoft.com/office/infopath/2007/PartnerControls"/>
    <ds:schemaRef ds:uri="290d5b49-c690-4c6f-bbb9-1e50dab33eee"/>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4.xml><?xml version="1.0" encoding="utf-8"?>
<ds:datastoreItem xmlns:ds="http://schemas.openxmlformats.org/officeDocument/2006/customXml" ds:itemID="{ADDE746D-178E-4B09-8CF2-9F951DA91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339</Words>
  <Characters>1697</Characters>
  <Application>Microsoft Office Word</Application>
  <DocSecurity>0</DocSecurity>
  <Lines>14</Lines>
  <Paragraphs>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רשומות</vt:lpstr>
      <vt:lpstr>רשומות</vt:lpstr>
    </vt:vector>
  </TitlesOfParts>
  <Company>Knesset</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12</cp:revision>
  <cp:lastPrinted>2013-07-04T08:25:00Z</cp:lastPrinted>
  <dcterms:created xsi:type="dcterms:W3CDTF">2015-04-20T09:58:00Z</dcterms:created>
  <dcterms:modified xsi:type="dcterms:W3CDTF">2023-02-16T08:46:00Z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2201154</vt:r8>
  </property>
</Properties>
</file>